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26" w:rsidRDefault="00FD1426">
      <w:pPr>
        <w:rPr>
          <w:b/>
          <w:sz w:val="32"/>
          <w:szCs w:val="32"/>
        </w:rPr>
      </w:pPr>
      <w:r w:rsidRPr="00687984">
        <w:rPr>
          <w:b/>
          <w:sz w:val="32"/>
          <w:szCs w:val="32"/>
        </w:rPr>
        <w:t xml:space="preserve">Einlagenversorgung und orthopädische Schuhzurichtungen </w:t>
      </w:r>
    </w:p>
    <w:p w:rsidR="00FD1426" w:rsidRPr="00687984" w:rsidRDefault="00FD1426">
      <w:pPr>
        <w:rPr>
          <w:b/>
          <w:sz w:val="32"/>
          <w:szCs w:val="32"/>
        </w:rPr>
      </w:pPr>
      <w:r w:rsidRPr="00687984">
        <w:rPr>
          <w:b/>
          <w:sz w:val="32"/>
          <w:szCs w:val="32"/>
        </w:rPr>
        <w:t>an Arbeitssicherheitsschuhen</w:t>
      </w:r>
    </w:p>
    <w:p w:rsidR="00FD1426" w:rsidRPr="00687984" w:rsidRDefault="00FD1426">
      <w:pPr>
        <w:rPr>
          <w:b/>
          <w:sz w:val="32"/>
          <w:szCs w:val="32"/>
        </w:rPr>
      </w:pPr>
      <w:r w:rsidRPr="00687984">
        <w:rPr>
          <w:b/>
          <w:sz w:val="32"/>
          <w:szCs w:val="32"/>
        </w:rPr>
        <w:t>DGUV-REGEL 112-191? WAS IST DAS?</w:t>
      </w:r>
    </w:p>
    <w:p w:rsidR="00FD1426" w:rsidRPr="00687984" w:rsidRDefault="00FD1426" w:rsidP="00687984">
      <w:pPr>
        <w:jc w:val="both"/>
        <w:rPr>
          <w:sz w:val="24"/>
          <w:szCs w:val="24"/>
        </w:rPr>
      </w:pPr>
      <w:r w:rsidRPr="00687984">
        <w:rPr>
          <w:sz w:val="24"/>
          <w:szCs w:val="24"/>
        </w:rPr>
        <w:t>Die im Mai 2014 in Kraft getretene Änderung der berufsgenossenschaftlichen Richtlinie DGUV Regel 112-191 (ehemals BGR 191) besagt, dass bei jeder orthopädischen Anpassung von Sicherheitsschuhen geprüft werden muss, ob diese weiterhin den Anforderungen der Norm EN ISO 20345 entsprechen.</w:t>
      </w:r>
    </w:p>
    <w:p w:rsidR="00FD1426" w:rsidRPr="00687984" w:rsidRDefault="00FD1426" w:rsidP="00687984">
      <w:pPr>
        <w:jc w:val="both"/>
        <w:rPr>
          <w:sz w:val="24"/>
          <w:szCs w:val="24"/>
        </w:rPr>
      </w:pPr>
      <w:r w:rsidRPr="00687984">
        <w:rPr>
          <w:sz w:val="24"/>
          <w:szCs w:val="24"/>
        </w:rPr>
        <w:t xml:space="preserve">Bei einer </w:t>
      </w:r>
      <w:r w:rsidRPr="00687984">
        <w:rPr>
          <w:b/>
          <w:sz w:val="32"/>
          <w:szCs w:val="32"/>
        </w:rPr>
        <w:t>Einlagenversorgung</w:t>
      </w:r>
      <w:r w:rsidRPr="00687984">
        <w:rPr>
          <w:sz w:val="24"/>
          <w:szCs w:val="24"/>
        </w:rPr>
        <w:t xml:space="preserve"> muss die orthopädische Einlage in Verbindung mit dem Schuh geprüft werden. </w:t>
      </w:r>
      <w:r>
        <w:rPr>
          <w:sz w:val="24"/>
          <w:szCs w:val="24"/>
        </w:rPr>
        <w:t>Die Einlagen können</w:t>
      </w:r>
      <w:r w:rsidRPr="00687984">
        <w:rPr>
          <w:sz w:val="24"/>
          <w:szCs w:val="24"/>
        </w:rPr>
        <w:t xml:space="preserve"> dann an die individuellen Bedürfnisse des Trägers angepasst werden.</w:t>
      </w:r>
    </w:p>
    <w:p w:rsidR="00FD1426" w:rsidRDefault="00FD1426" w:rsidP="008D1D86">
      <w:pPr>
        <w:jc w:val="both"/>
        <w:rPr>
          <w:b/>
          <w:sz w:val="32"/>
          <w:szCs w:val="32"/>
        </w:rPr>
      </w:pPr>
      <w:r w:rsidRPr="00687984">
        <w:rPr>
          <w:sz w:val="24"/>
          <w:szCs w:val="24"/>
        </w:rPr>
        <w:t xml:space="preserve">Die </w:t>
      </w:r>
      <w:r w:rsidRPr="00687984">
        <w:rPr>
          <w:b/>
          <w:sz w:val="32"/>
          <w:szCs w:val="32"/>
        </w:rPr>
        <w:t>orthopädischen Zurichtungen</w:t>
      </w:r>
      <w:r w:rsidRPr="00687984">
        <w:rPr>
          <w:sz w:val="24"/>
          <w:szCs w:val="24"/>
        </w:rPr>
        <w:t xml:space="preserve"> beinhalten die Einarbeitung von orthopädischen Elementen, wie zum Beispiel </w:t>
      </w:r>
      <w:r>
        <w:rPr>
          <w:sz w:val="24"/>
          <w:szCs w:val="24"/>
        </w:rPr>
        <w:t>Abrollhilfen</w:t>
      </w:r>
      <w:r w:rsidRPr="00687984">
        <w:rPr>
          <w:sz w:val="24"/>
          <w:szCs w:val="24"/>
        </w:rPr>
        <w:t xml:space="preserve"> oder Verkürzungsausgleiche. Die Anfertigung der individuellen Schuhzurichtung erfolgt dann auf Basis einer präzisen Verarbeitungsvorschrift und unter Verwendung der vom Hersteller zugelassenen </w:t>
      </w:r>
      <w:r>
        <w:rPr>
          <w:sz w:val="24"/>
          <w:szCs w:val="24"/>
        </w:rPr>
        <w:t>M</w:t>
      </w:r>
      <w:r w:rsidRPr="00687984">
        <w:rPr>
          <w:sz w:val="24"/>
          <w:szCs w:val="24"/>
        </w:rPr>
        <w:t xml:space="preserve">aterialien </w:t>
      </w:r>
      <w:r>
        <w:rPr>
          <w:sz w:val="24"/>
          <w:szCs w:val="24"/>
        </w:rPr>
        <w:t xml:space="preserve">und </w:t>
      </w:r>
      <w:r w:rsidRPr="00687984">
        <w:rPr>
          <w:sz w:val="24"/>
          <w:szCs w:val="24"/>
        </w:rPr>
        <w:t>müssen ebenfalls baumustergeprüft sein.</w:t>
      </w:r>
    </w:p>
    <w:p w:rsidR="00FD1426" w:rsidRPr="00F41DDF" w:rsidRDefault="00FD1426" w:rsidP="00875591">
      <w:pPr>
        <w:spacing w:after="0"/>
        <w:jc w:val="both"/>
        <w:rPr>
          <w:b/>
          <w:sz w:val="32"/>
          <w:szCs w:val="32"/>
        </w:rPr>
      </w:pPr>
      <w:r w:rsidRPr="00F41DDF">
        <w:rPr>
          <w:b/>
          <w:sz w:val="32"/>
          <w:szCs w:val="32"/>
        </w:rPr>
        <w:t>Hinweise zur Antragstellung</w:t>
      </w:r>
    </w:p>
    <w:p w:rsidR="00FD1426" w:rsidRDefault="00FD1426" w:rsidP="0087559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1426" w:rsidRDefault="00FD1426" w:rsidP="0087559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Für die Antragstellung lassen Sie sich von Ihrem behandelnden Arzt einen </w:t>
      </w:r>
      <w:r w:rsidRPr="00F41DDF">
        <w:rPr>
          <w:b/>
          <w:sz w:val="24"/>
          <w:szCs w:val="24"/>
        </w:rPr>
        <w:t>ärztlichen Befundbericht</w:t>
      </w:r>
      <w:r>
        <w:rPr>
          <w:b/>
          <w:sz w:val="24"/>
          <w:szCs w:val="24"/>
        </w:rPr>
        <w:t xml:space="preserve"> </w:t>
      </w:r>
      <w:r w:rsidRPr="00F41DDF">
        <w:rPr>
          <w:sz w:val="24"/>
          <w:szCs w:val="24"/>
        </w:rPr>
        <w:t>ausstellen</w:t>
      </w:r>
      <w:r>
        <w:rPr>
          <w:sz w:val="24"/>
          <w:szCs w:val="24"/>
        </w:rPr>
        <w:t xml:space="preserve">, den Sie bitte mit den ausgefüllten Anträgen und die Datenschutzerklärung (im Anhang) vollständig bei der </w:t>
      </w:r>
      <w:proofErr w:type="spellStart"/>
      <w:r>
        <w:rPr>
          <w:sz w:val="24"/>
          <w:szCs w:val="24"/>
        </w:rPr>
        <w:t>Fredmax</w:t>
      </w:r>
      <w:proofErr w:type="spellEnd"/>
      <w:r>
        <w:rPr>
          <w:sz w:val="24"/>
          <w:szCs w:val="24"/>
        </w:rPr>
        <w:t xml:space="preserve"> GmbH einreichen. Wir erstellen auf der Grundlage der ärztlichen Verordnung einen Kostenvoranschlag an den jeweiligen Kostenträger und reichen die Unterlagen komplett bei Ihrem Kostenträger ein.</w:t>
      </w:r>
    </w:p>
    <w:p w:rsidR="00FD1426" w:rsidRDefault="00FD1426" w:rsidP="00875591">
      <w:pPr>
        <w:spacing w:after="0"/>
        <w:jc w:val="both"/>
        <w:rPr>
          <w:sz w:val="24"/>
          <w:szCs w:val="24"/>
        </w:rPr>
      </w:pPr>
    </w:p>
    <w:p w:rsidR="00FD1426" w:rsidRPr="008C3BFE" w:rsidRDefault="00FD1426" w:rsidP="0087559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Bitte informieren Sie uns unverzüglich über den Kostenzusage- bzw. Ablehnungsbescheid, damit wir die nächsten Bearbeitungsschritte mit Ihnen abstimmen können.</w:t>
      </w:r>
    </w:p>
    <w:p w:rsidR="00FD1426" w:rsidRDefault="00FD1426" w:rsidP="00687984">
      <w:pPr>
        <w:jc w:val="both"/>
        <w:rPr>
          <w:sz w:val="24"/>
          <w:szCs w:val="24"/>
        </w:rPr>
      </w:pPr>
    </w:p>
    <w:p w:rsidR="00FD1426" w:rsidRDefault="00FD1426" w:rsidP="00687984">
      <w:pPr>
        <w:jc w:val="both"/>
        <w:rPr>
          <w:sz w:val="24"/>
          <w:szCs w:val="24"/>
        </w:rPr>
      </w:pPr>
      <w:r>
        <w:rPr>
          <w:sz w:val="24"/>
          <w:szCs w:val="24"/>
        </w:rPr>
        <w:t>Die Antragstellung für diese Leistungen erfolgt bei Ihrem zuständigen Kostenträger.</w:t>
      </w:r>
    </w:p>
    <w:p w:rsidR="00FD1426" w:rsidRDefault="00FD1426" w:rsidP="00D14DBC">
      <w:pPr>
        <w:jc w:val="both"/>
        <w:rPr>
          <w:sz w:val="24"/>
          <w:szCs w:val="24"/>
        </w:rPr>
      </w:pPr>
      <w:r w:rsidRPr="008C3BFE">
        <w:rPr>
          <w:b/>
          <w:sz w:val="32"/>
          <w:szCs w:val="32"/>
        </w:rPr>
        <w:t>1. Deutsche Rentenversicherung</w:t>
      </w:r>
      <w:r>
        <w:rPr>
          <w:sz w:val="24"/>
          <w:szCs w:val="24"/>
        </w:rPr>
        <w:t xml:space="preserve"> (mindestens 15 Jahre Beitragszahlung erforderlich)</w:t>
      </w:r>
    </w:p>
    <w:p w:rsidR="00FD1426" w:rsidRDefault="00FD1426" w:rsidP="00D14DB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Die notwendigen Anträge (</w:t>
      </w:r>
      <w:r w:rsidRPr="008C3BFE">
        <w:rPr>
          <w:b/>
          <w:sz w:val="24"/>
          <w:szCs w:val="24"/>
        </w:rPr>
        <w:t>G100</w:t>
      </w:r>
      <w:r>
        <w:rPr>
          <w:sz w:val="24"/>
          <w:szCs w:val="24"/>
        </w:rPr>
        <w:t xml:space="preserve"> und </w:t>
      </w:r>
      <w:r w:rsidRPr="008C3BFE">
        <w:rPr>
          <w:b/>
          <w:sz w:val="24"/>
          <w:szCs w:val="24"/>
        </w:rPr>
        <w:t>G130</w:t>
      </w:r>
      <w:r>
        <w:rPr>
          <w:sz w:val="24"/>
          <w:szCs w:val="24"/>
        </w:rPr>
        <w:t xml:space="preserve"> sowie den </w:t>
      </w:r>
      <w:r w:rsidRPr="008C3BFE">
        <w:rPr>
          <w:b/>
          <w:sz w:val="24"/>
          <w:szCs w:val="24"/>
        </w:rPr>
        <w:t>Zusatzfragebogen</w:t>
      </w:r>
      <w:r w:rsidR="00365096">
        <w:rPr>
          <w:b/>
          <w:sz w:val="24"/>
          <w:szCs w:val="24"/>
        </w:rPr>
        <w:t xml:space="preserve"> </w:t>
      </w:r>
      <w:r w:rsidR="00365096" w:rsidRPr="00365096">
        <w:rPr>
          <w:sz w:val="24"/>
          <w:szCs w:val="24"/>
        </w:rPr>
        <w:t>und</w:t>
      </w:r>
      <w:r w:rsidR="00365096">
        <w:rPr>
          <w:b/>
          <w:sz w:val="24"/>
          <w:szCs w:val="24"/>
        </w:rPr>
        <w:t xml:space="preserve"> ärztlicher Befundbericht G3004 </w:t>
      </w:r>
      <w:r w:rsidR="00365096" w:rsidRPr="00365096">
        <w:rPr>
          <w:sz w:val="24"/>
          <w:szCs w:val="24"/>
        </w:rPr>
        <w:t>und</w:t>
      </w:r>
      <w:r w:rsidR="00365096">
        <w:rPr>
          <w:b/>
          <w:sz w:val="24"/>
          <w:szCs w:val="24"/>
        </w:rPr>
        <w:t xml:space="preserve"> G600</w:t>
      </w:r>
      <w:r>
        <w:rPr>
          <w:sz w:val="24"/>
          <w:szCs w:val="24"/>
        </w:rPr>
        <w:t xml:space="preserve">) erhalten Sie bei </w:t>
      </w:r>
      <w:hyperlink r:id="rId8" w:history="1">
        <w:r w:rsidRPr="00AB5A8E">
          <w:rPr>
            <w:rStyle w:val="Hyperlink"/>
            <w:sz w:val="24"/>
            <w:szCs w:val="24"/>
          </w:rPr>
          <w:t>www.deutsche-rentenversicherung.de</w:t>
        </w:r>
      </w:hyperlink>
      <w:r>
        <w:rPr>
          <w:sz w:val="24"/>
          <w:szCs w:val="24"/>
        </w:rPr>
        <w:t>, Servicerufnummer 0800 100048024 oder in de</w:t>
      </w:r>
      <w:r w:rsidR="00365096">
        <w:rPr>
          <w:sz w:val="24"/>
          <w:szCs w:val="24"/>
        </w:rPr>
        <w:t>r Beratungsstelle in Nordhausen.</w:t>
      </w:r>
    </w:p>
    <w:p w:rsidR="00FD1426" w:rsidRDefault="00FD1426" w:rsidP="00D14D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Bahnhofstraße 18, 99734 Nordhausen, Tel. 03691 884-0, Fax 03631 4714-37679, email: </w:t>
      </w:r>
      <w:hyperlink r:id="rId9" w:history="1">
        <w:r w:rsidRPr="00AB5A8E">
          <w:rPr>
            <w:rStyle w:val="Hyperlink"/>
            <w:sz w:val="24"/>
            <w:szCs w:val="24"/>
          </w:rPr>
          <w:t>nordhausen-aub@drv-md.de</w:t>
        </w:r>
      </w:hyperlink>
      <w:r>
        <w:rPr>
          <w:sz w:val="24"/>
          <w:szCs w:val="24"/>
        </w:rPr>
        <w:t xml:space="preserve"> </w:t>
      </w:r>
    </w:p>
    <w:p w:rsidR="00FD1426" w:rsidRDefault="00FD1426" w:rsidP="00D52A0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Öffnungszeiten:</w:t>
      </w:r>
    </w:p>
    <w:p w:rsidR="00FD1426" w:rsidRDefault="00FD1426" w:rsidP="00D52A0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Montag</w:t>
      </w:r>
      <w:r>
        <w:rPr>
          <w:sz w:val="24"/>
          <w:szCs w:val="24"/>
        </w:rPr>
        <w:tab/>
        <w:t>8.00 – 15.00 Uhr</w:t>
      </w:r>
    </w:p>
    <w:p w:rsidR="00FD1426" w:rsidRDefault="00FD1426" w:rsidP="00D52A0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Dienstag</w:t>
      </w:r>
      <w:r>
        <w:rPr>
          <w:sz w:val="24"/>
          <w:szCs w:val="24"/>
        </w:rPr>
        <w:tab/>
        <w:t>8.00 – 18.00 Uhr</w:t>
      </w:r>
    </w:p>
    <w:p w:rsidR="00FD1426" w:rsidRDefault="00FD1426" w:rsidP="00D52A0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Mittwoch</w:t>
      </w:r>
      <w:r>
        <w:rPr>
          <w:sz w:val="24"/>
          <w:szCs w:val="24"/>
        </w:rPr>
        <w:tab/>
        <w:t>8.00 – 13.00 Uhr</w:t>
      </w:r>
    </w:p>
    <w:p w:rsidR="00FD1426" w:rsidRDefault="00FD1426" w:rsidP="00D52A0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Donnerstag</w:t>
      </w:r>
      <w:r>
        <w:rPr>
          <w:sz w:val="24"/>
          <w:szCs w:val="24"/>
        </w:rPr>
        <w:tab/>
        <w:t>8.00 – 15.00 Uhr</w:t>
      </w:r>
    </w:p>
    <w:p w:rsidR="00FD1426" w:rsidRPr="00D14DBC" w:rsidRDefault="00FD1426" w:rsidP="00D52A0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Freitag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8.00 – 12.00 Uhr</w:t>
      </w:r>
    </w:p>
    <w:p w:rsidR="00FD1426" w:rsidRDefault="00FD1426">
      <w:pPr>
        <w:jc w:val="both"/>
        <w:rPr>
          <w:sz w:val="24"/>
          <w:szCs w:val="24"/>
        </w:rPr>
      </w:pPr>
    </w:p>
    <w:p w:rsidR="00FD1426" w:rsidRDefault="00FD1426">
      <w:pPr>
        <w:jc w:val="both"/>
        <w:rPr>
          <w:sz w:val="24"/>
          <w:szCs w:val="24"/>
        </w:rPr>
      </w:pPr>
      <w:r w:rsidRPr="008C3BFE">
        <w:rPr>
          <w:b/>
          <w:sz w:val="32"/>
          <w:szCs w:val="32"/>
        </w:rPr>
        <w:t>2.</w:t>
      </w:r>
      <w:r>
        <w:rPr>
          <w:sz w:val="24"/>
          <w:szCs w:val="24"/>
        </w:rPr>
        <w:t xml:space="preserve"> </w:t>
      </w:r>
      <w:r w:rsidRPr="008C3BFE">
        <w:rPr>
          <w:b/>
          <w:sz w:val="32"/>
          <w:szCs w:val="32"/>
        </w:rPr>
        <w:t>Agentur für Arbeit</w:t>
      </w:r>
      <w:r>
        <w:rPr>
          <w:sz w:val="24"/>
          <w:szCs w:val="24"/>
        </w:rPr>
        <w:t xml:space="preserve"> (unter 15 Jahre Beitragszahlung)</w:t>
      </w:r>
    </w:p>
    <w:p w:rsidR="00FD1426" w:rsidRDefault="00FD1426">
      <w:pPr>
        <w:jc w:val="both"/>
        <w:rPr>
          <w:b/>
          <w:sz w:val="24"/>
          <w:szCs w:val="24"/>
        </w:rPr>
      </w:pPr>
      <w:r w:rsidRPr="008C3BFE">
        <w:rPr>
          <w:b/>
          <w:sz w:val="24"/>
          <w:szCs w:val="24"/>
        </w:rPr>
        <w:t>Antrag auf Förderung der Teilhabe am Arbeitsleben</w:t>
      </w:r>
    </w:p>
    <w:p w:rsidR="008D1D86" w:rsidRDefault="008D1D86">
      <w:pPr>
        <w:jc w:val="both"/>
        <w:rPr>
          <w:b/>
          <w:sz w:val="24"/>
          <w:szCs w:val="24"/>
        </w:rPr>
      </w:pPr>
      <w:hyperlink r:id="rId10" w:history="1">
        <w:r w:rsidRPr="008D1D86">
          <w:rPr>
            <w:rStyle w:val="Hyperlink"/>
            <w:sz w:val="24"/>
            <w:szCs w:val="24"/>
          </w:rPr>
          <w:t>http://www.bfw-badpyrmont.de/berufliche-reha/antrag-leistungen.htm</w:t>
        </w:r>
      </w:hyperlink>
      <w:bookmarkStart w:id="0" w:name="_GoBack"/>
      <w:bookmarkEnd w:id="0"/>
    </w:p>
    <w:p w:rsidR="00C758FB" w:rsidRPr="00C758FB" w:rsidRDefault="00C758FB">
      <w:pPr>
        <w:jc w:val="both"/>
        <w:rPr>
          <w:b/>
          <w:sz w:val="24"/>
          <w:szCs w:val="24"/>
        </w:rPr>
      </w:pPr>
      <w:r w:rsidRPr="00C758FB">
        <w:rPr>
          <w:b/>
          <w:sz w:val="24"/>
          <w:szCs w:val="24"/>
        </w:rPr>
        <w:t>Um Ihre Anfrage schnellstmöglich zu bearbeiten rufen Sie einfach die Hotline Tel. 0800 4555500 an und vereinbaren einen Termin mit der Reha-Abteilung.</w:t>
      </w:r>
    </w:p>
    <w:p w:rsidR="00C758FB" w:rsidRPr="00C758FB" w:rsidRDefault="00C758FB">
      <w:pPr>
        <w:jc w:val="both"/>
        <w:rPr>
          <w:b/>
          <w:sz w:val="24"/>
          <w:szCs w:val="24"/>
        </w:rPr>
      </w:pPr>
      <w:r w:rsidRPr="00C758FB">
        <w:rPr>
          <w:b/>
          <w:sz w:val="24"/>
          <w:szCs w:val="24"/>
        </w:rPr>
        <w:t>Wichtig hierbei, dass Rezept muss vom Facharzt ausgestellt sein.</w:t>
      </w:r>
    </w:p>
    <w:p w:rsidR="00C758FB" w:rsidRPr="00C758FB" w:rsidRDefault="00C758FB">
      <w:pPr>
        <w:jc w:val="both"/>
        <w:rPr>
          <w:sz w:val="24"/>
          <w:szCs w:val="24"/>
        </w:rPr>
      </w:pPr>
      <w:r>
        <w:t>Hier wird man Ihnen alle nötigen Anträge geben und die Vorgehensweise erklären.</w:t>
      </w:r>
    </w:p>
    <w:p w:rsidR="00FD1426" w:rsidRDefault="00940157">
      <w:pPr>
        <w:jc w:val="both"/>
        <w:rPr>
          <w:sz w:val="24"/>
          <w:szCs w:val="24"/>
        </w:rPr>
      </w:pPr>
      <w:hyperlink r:id="rId11" w:history="1">
        <w:r w:rsidR="00FD1426" w:rsidRPr="00AB5A8E">
          <w:rPr>
            <w:rStyle w:val="Hyperlink"/>
            <w:sz w:val="24"/>
            <w:szCs w:val="24"/>
          </w:rPr>
          <w:t>www.arbeitsagentur.de</w:t>
        </w:r>
      </w:hyperlink>
      <w:r w:rsidR="00FD1426">
        <w:rPr>
          <w:sz w:val="24"/>
          <w:szCs w:val="24"/>
        </w:rPr>
        <w:t xml:space="preserve">, Beratungsstelle Nordhausen, </w:t>
      </w:r>
      <w:r w:rsidR="00FD1426">
        <w:t>Uferstraße 2, 99734 Nordhausen</w:t>
      </w:r>
      <w:r w:rsidR="00FD1426">
        <w:br/>
        <w:t>Tel. 0800 4555500, Fax 03631 650-388</w:t>
      </w:r>
    </w:p>
    <w:p w:rsidR="00FD1426" w:rsidRDefault="00FD1426" w:rsidP="00610F55">
      <w:pPr>
        <w:spacing w:after="0"/>
        <w:jc w:val="both"/>
      </w:pPr>
      <w:r>
        <w:t>Öffnungszeiten:</w:t>
      </w:r>
    </w:p>
    <w:p w:rsidR="00FD1426" w:rsidRDefault="00FD1426" w:rsidP="00610F55">
      <w:pPr>
        <w:spacing w:after="0"/>
        <w:jc w:val="both"/>
      </w:pPr>
      <w:r>
        <w:t>Montag</w:t>
      </w:r>
      <w:r>
        <w:tab/>
      </w:r>
      <w:r>
        <w:tab/>
        <w:t>8.00 – 13.00 Uhr</w:t>
      </w:r>
    </w:p>
    <w:p w:rsidR="00FD1426" w:rsidRDefault="00FD1426" w:rsidP="00610F55">
      <w:pPr>
        <w:spacing w:after="0"/>
        <w:jc w:val="both"/>
      </w:pPr>
      <w:r>
        <w:t>Dienstag</w:t>
      </w:r>
      <w:r>
        <w:tab/>
        <w:t>8.00 – 16.00 Uhr</w:t>
      </w:r>
    </w:p>
    <w:p w:rsidR="00FD1426" w:rsidRDefault="00FD1426" w:rsidP="00610F55">
      <w:pPr>
        <w:spacing w:after="0"/>
        <w:jc w:val="both"/>
      </w:pPr>
      <w:r>
        <w:t>Mittwoch</w:t>
      </w:r>
      <w:r>
        <w:tab/>
        <w:t>8.00 – 13.00 Uhr</w:t>
      </w:r>
    </w:p>
    <w:p w:rsidR="00FD1426" w:rsidRDefault="00FD1426" w:rsidP="00610F55">
      <w:pPr>
        <w:spacing w:after="0"/>
        <w:jc w:val="both"/>
      </w:pPr>
      <w:r>
        <w:t>Donnerstag</w:t>
      </w:r>
      <w:r>
        <w:tab/>
        <w:t>8.00 – 18.00 Uhr</w:t>
      </w:r>
    </w:p>
    <w:p w:rsidR="00FD1426" w:rsidRDefault="00FD1426" w:rsidP="00610F55">
      <w:pPr>
        <w:spacing w:after="0"/>
        <w:jc w:val="both"/>
        <w:rPr>
          <w:sz w:val="24"/>
          <w:szCs w:val="24"/>
        </w:rPr>
      </w:pPr>
      <w:r>
        <w:t>Freitag</w:t>
      </w:r>
      <w:r>
        <w:tab/>
      </w:r>
      <w:r>
        <w:tab/>
        <w:t>8.00 – 13.00 Uhr</w:t>
      </w:r>
    </w:p>
    <w:sectPr w:rsidR="00FD1426" w:rsidSect="00981A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418" w:bottom="1134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157" w:rsidRDefault="00940157" w:rsidP="00875591">
      <w:pPr>
        <w:spacing w:after="0" w:line="240" w:lineRule="auto"/>
      </w:pPr>
      <w:r>
        <w:separator/>
      </w:r>
    </w:p>
  </w:endnote>
  <w:endnote w:type="continuationSeparator" w:id="0">
    <w:p w:rsidR="00940157" w:rsidRDefault="00940157" w:rsidP="0087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426" w:rsidRDefault="00FD142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426" w:rsidRDefault="00C758FB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8D1D86">
      <w:rPr>
        <w:noProof/>
      </w:rPr>
      <w:t>2</w:t>
    </w:r>
    <w:r>
      <w:rPr>
        <w:noProof/>
      </w:rPr>
      <w:fldChar w:fldCharType="end"/>
    </w:r>
  </w:p>
  <w:p w:rsidR="00FD1426" w:rsidRDefault="00FD1426" w:rsidP="00981A0D">
    <w:pPr>
      <w:pStyle w:val="Default"/>
    </w:pPr>
  </w:p>
  <w:p w:rsidR="00FD1426" w:rsidRDefault="00FD1426" w:rsidP="00981A0D">
    <w:pPr>
      <w:pStyle w:val="Pa2"/>
      <w:jc w:val="right"/>
      <w:rPr>
        <w:rFonts w:cs="Futura"/>
        <w:color w:val="000000"/>
        <w:sz w:val="18"/>
        <w:szCs w:val="18"/>
      </w:rPr>
    </w:pPr>
    <w:r>
      <w:t xml:space="preserve"> </w:t>
    </w:r>
    <w:r>
      <w:rPr>
        <w:rStyle w:val="A2"/>
        <w:rFonts w:cs="Futura"/>
        <w:szCs w:val="18"/>
      </w:rPr>
      <w:t>FREDMAX GmbH</w:t>
    </w:r>
  </w:p>
  <w:p w:rsidR="00FD1426" w:rsidRDefault="00FD1426" w:rsidP="00981A0D">
    <w:pPr>
      <w:pStyle w:val="Pa2"/>
      <w:jc w:val="right"/>
      <w:rPr>
        <w:rFonts w:cs="Futura"/>
        <w:color w:val="000000"/>
        <w:sz w:val="18"/>
        <w:szCs w:val="18"/>
      </w:rPr>
    </w:pPr>
    <w:r>
      <w:rPr>
        <w:rStyle w:val="A2"/>
        <w:rFonts w:cs="Futura"/>
        <w:szCs w:val="18"/>
      </w:rPr>
      <w:t>Geschäftsführer André &amp; Peggy Fredrich</w:t>
    </w:r>
  </w:p>
  <w:p w:rsidR="00FD1426" w:rsidRDefault="00FD1426" w:rsidP="00981A0D">
    <w:pPr>
      <w:pStyle w:val="Pa2"/>
      <w:jc w:val="right"/>
      <w:rPr>
        <w:rFonts w:cs="Futura"/>
        <w:color w:val="000000"/>
        <w:sz w:val="18"/>
        <w:szCs w:val="18"/>
      </w:rPr>
    </w:pPr>
    <w:proofErr w:type="spellStart"/>
    <w:r>
      <w:rPr>
        <w:rStyle w:val="A2"/>
        <w:rFonts w:cs="Futura"/>
        <w:szCs w:val="18"/>
      </w:rPr>
      <w:t>Grimmelallee</w:t>
    </w:r>
    <w:proofErr w:type="spellEnd"/>
    <w:r>
      <w:rPr>
        <w:rStyle w:val="A2"/>
        <w:rFonts w:cs="Futura"/>
        <w:szCs w:val="18"/>
      </w:rPr>
      <w:t xml:space="preserve"> 4c | 99734 Nordhausen</w:t>
    </w:r>
  </w:p>
  <w:p w:rsidR="00FD1426" w:rsidRDefault="00FD1426" w:rsidP="00981A0D">
    <w:pPr>
      <w:pStyle w:val="Pa2"/>
      <w:jc w:val="right"/>
      <w:rPr>
        <w:rFonts w:cs="Futura"/>
        <w:color w:val="000000"/>
        <w:sz w:val="18"/>
        <w:szCs w:val="18"/>
      </w:rPr>
    </w:pPr>
    <w:r>
      <w:rPr>
        <w:rStyle w:val="A2"/>
        <w:rFonts w:cs="Futura"/>
        <w:szCs w:val="18"/>
      </w:rPr>
      <w:t>Tel. 0 36 31 · 47 22 10 | Fax 0 36 31 · 47 21 20</w:t>
    </w:r>
  </w:p>
  <w:p w:rsidR="00FD1426" w:rsidRDefault="00FD1426" w:rsidP="00981A0D">
    <w:pPr>
      <w:pStyle w:val="Fuzeile"/>
      <w:jc w:val="right"/>
    </w:pPr>
    <w:r>
      <w:rPr>
        <w:rStyle w:val="A2"/>
        <w:rFonts w:cs="Futura"/>
        <w:szCs w:val="18"/>
      </w:rPr>
      <w:t>E-Mail info@fredmax.de | www.fredmax.de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426" w:rsidRDefault="00FD14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157" w:rsidRDefault="00940157" w:rsidP="00875591">
      <w:pPr>
        <w:spacing w:after="0" w:line="240" w:lineRule="auto"/>
      </w:pPr>
      <w:r>
        <w:separator/>
      </w:r>
    </w:p>
  </w:footnote>
  <w:footnote w:type="continuationSeparator" w:id="0">
    <w:p w:rsidR="00940157" w:rsidRDefault="00940157" w:rsidP="0087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426" w:rsidRDefault="00FD142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426" w:rsidRDefault="00FD1426" w:rsidP="00981A0D">
    <w:pPr>
      <w:pStyle w:val="Kopfzeile"/>
      <w:jc w:val="right"/>
    </w:pPr>
    <w:r w:rsidRPr="00981A0D">
      <w:object w:dxaOrig="11894" w:dyaOrig="56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6.5pt;height:91.5pt">
          <v:imagedata r:id="rId1" o:title=""/>
        </v:shape>
        <o:OLEObject Type="Embed" ProgID="AcroExch.Document.DC" ShapeID="_x0000_i1025" DrawAspect="Content" ObjectID="_1557576186" r:id="rId2"/>
      </w:object>
    </w:r>
  </w:p>
  <w:p w:rsidR="00FD1426" w:rsidRDefault="00FD142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426" w:rsidRDefault="00FD14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279C7"/>
    <w:multiLevelType w:val="hybridMultilevel"/>
    <w:tmpl w:val="1056FF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F5519C"/>
    <w:multiLevelType w:val="hybridMultilevel"/>
    <w:tmpl w:val="00CAA09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F8"/>
    <w:rsid w:val="00056A68"/>
    <w:rsid w:val="001066E9"/>
    <w:rsid w:val="0015571F"/>
    <w:rsid w:val="00365096"/>
    <w:rsid w:val="00444941"/>
    <w:rsid w:val="005454C9"/>
    <w:rsid w:val="005D5FF8"/>
    <w:rsid w:val="00610F55"/>
    <w:rsid w:val="00644FB2"/>
    <w:rsid w:val="006742C2"/>
    <w:rsid w:val="00687984"/>
    <w:rsid w:val="00875591"/>
    <w:rsid w:val="008C3BFE"/>
    <w:rsid w:val="008D1D86"/>
    <w:rsid w:val="00940157"/>
    <w:rsid w:val="00965669"/>
    <w:rsid w:val="00981A0D"/>
    <w:rsid w:val="00AB5A8E"/>
    <w:rsid w:val="00C61806"/>
    <w:rsid w:val="00C758FB"/>
    <w:rsid w:val="00D14DBC"/>
    <w:rsid w:val="00D52A02"/>
    <w:rsid w:val="00E85763"/>
    <w:rsid w:val="00F41DDF"/>
    <w:rsid w:val="00F62945"/>
    <w:rsid w:val="00FD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E67148"/>
  <w15:docId w15:val="{5A4ADC5D-719F-406F-B63D-5EFC2934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44941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D14DBC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D14DBC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87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75591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87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7559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981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81A0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81A0D"/>
    <w:pPr>
      <w:autoSpaceDE w:val="0"/>
      <w:autoSpaceDN w:val="0"/>
      <w:adjustRightInd w:val="0"/>
    </w:pPr>
    <w:rPr>
      <w:rFonts w:ascii="Futura" w:hAnsi="Futura" w:cs="Futura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981A0D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981A0D"/>
    <w:rPr>
      <w:color w:val="000000"/>
      <w:sz w:val="18"/>
    </w:rPr>
  </w:style>
  <w:style w:type="character" w:styleId="Erwhnung">
    <w:name w:val="Mention"/>
    <w:basedOn w:val="Absatz-Standardschriftart"/>
    <w:uiPriority w:val="99"/>
    <w:semiHidden/>
    <w:unhideWhenUsed/>
    <w:rsid w:val="008D1D8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utsche-rentenversicherung.d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beitsagentur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bfw-badpyrmont.de/berufliche-reha/antrag-leistungen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ordhausen-aub@drv-md.d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D3CEC-A1D1-487C-B931-7C8D36EF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Empfang</dc:creator>
  <cp:keywords/>
  <dc:description/>
  <cp:lastModifiedBy>André Fredrich</cp:lastModifiedBy>
  <cp:revision>3</cp:revision>
  <cp:lastPrinted>2015-05-28T12:43:00Z</cp:lastPrinted>
  <dcterms:created xsi:type="dcterms:W3CDTF">2017-05-29T09:09:00Z</dcterms:created>
  <dcterms:modified xsi:type="dcterms:W3CDTF">2017-05-29T13:17:00Z</dcterms:modified>
</cp:coreProperties>
</file>